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NW_27976 (Nordrhein-Westfalen) — Wegfall- und Umwandlungsvermerke</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Ausgaben, die der Haushaltsplan als künftig wegfallend bezeichnet, darf von dem Zeitpunkt an, mit dem die im Haushaltsplan bezeichnete Voraussetzung für den Wegfall erfüllt ist, nicht mehr verfügt werden. Entsprechendes gilt für Planstellen.</w:t>
      </w:r>
    </w:p>
    <w:p>
      <w:r>
        <w:t xml:space="preserve">(2) Ist eine Planstelle ohne nähere Angabe als künftig wegfallend bezeichnet, darf die nächste freiwerdende Planstelle derselben Besoldungsgruppe für Beamtinnen und Beamte derselben Fachrichtung nicht wieder besetzt werden.</w:t>
      </w:r>
    </w:p>
    <w:p>
      <w:r>
        <w:t xml:space="preserve">(3) Ist eine Planstelle ohne nähere Angabe als künftig umzuwandeln bezeichnet, gilt die nächste freiwerdende Planstelle derselben Besoldungsgruppe für Beamtinnen und Beamte derselben Fachrichtung im Zeitpunkt ihres Freiwerdens als in die Stelle umgewandelt, die in dem Umwandlungsvermerk angegeben ist.</w:t>
      </w:r>
    </w:p>
    <w:p>
      <w:r>
        <w:t xml:space="preserve">(4) Die Absätze 1 bis 3 gelten für andere Stellen als Planstellen entsprechend.</w:t>
      </w:r>
    </w:p>
    <w:p>
      <w:r>
        <w:rPr>
          <w:color w:val="555555"/>
          <w:sz w:val="17"/>
        </w:rPr>
        <w:t xml:space="preserve">Zitiervorschlag: § 47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