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NW_27976 (Nordrhein-Westfalen) — Andere Maßnahmen von finanzieller Bedeutung</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Erlass von Verwaltungsvorschriften, der Abschluss von Tarifverträgen und die Gewährung von über- oder außertariflichen Leistungen sowie die Festsetzung oder Änderung von Entgelten für Verwaltungsleistungen bedürfen der Einwilligung des Finanzministeriums, wenn diese Regelungen zu Einnahmeminderungen oder zu zusätzlichen Ausgaben im laufenden Haushaltsjahr oder in künftigen Haushaltsjahren führen können. Satz 1 ist auf sonstige Maßnahmen von grundsätzlicher oder erheblicher finanzieller Bedeutung anzuwenden, wenn sie zu Einnahmeminderungen im laufenden Haushaltsjahr oder in künftigen Haushaltsjahren führen können.</w:t>
      </w:r>
    </w:p>
    <w:p>
      <w:r>
        <w:t xml:space="preserve">(2) Auf die Mitwirkung des Landes an Maßnahmen überstaatlicher oder zwischenstaatlicher Einrichtungen ist Absatz 1 Satz 1 entsprechend anzuwenden.</w:t>
      </w:r>
    </w:p>
    <w:p>
      <w:r>
        <w:rPr>
          <w:color w:val="555555"/>
          <w:sz w:val="17"/>
        </w:rPr>
        <w:t xml:space="preserve">Zitiervorschlag: § 40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