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NW_27976 (Nordrhein-Westfalen) — Verpflichtungsermächtigungen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Maßnahmen, die das Land zur Leistung von Ausgaben in künftigen Haushaltsjahren verpflichten können, sind nur zulässig, wenn das Haushaltsgesetz oder der Haushaltsplan dazu ermächtigt. Das Finanzministerium kann unter den Voraussetzungen des § 37 Abs. 1 Satz 2 Ausnahmen zulassen.</w:t>
      </w:r>
    </w:p>
    <w:p>
      <w:r>
        <w:t xml:space="preserve">(2) Die Inanspruchnahme von Verpflichtungsermächtigungen bedarf der Einwilligung des Finanzministeriums, wenn</w:t>
      </w:r>
    </w:p>
    <w:p>
      <w:r>
        <w:t xml:space="preserve">1. von den in § 16 bezeichneten Angaben erheblich abgewichen werden soll oder</w:t>
      </w:r>
    </w:p>
    <w:p>
      <w:r>
        <w:t xml:space="preserve">2. in den Fällen des § 16 Satz 2 Jahresbeträge nicht angegeben sind.</w:t>
      </w:r>
    </w:p>
    <w:p>
      <w:r>
        <w:t xml:space="preserve">Das Finanzministerium kann auf seine Befugnisse verzichten. Das Finanzministerium kann die Inanspruchnahme der veranschlagten Verpflichtungsermächtigungen, die den im Haushaltsgesetz zu § 37 Abs. 1 Satz 2 bestimmten Betrag übersteigen, von seiner Einwilligung abhängig machen.</w:t>
      </w:r>
    </w:p>
    <w:p>
      <w:r>
        <w:t xml:space="preserve">(3) Das Finanzministerium ist bei Maßnahmen nach Absatz 1 von grundsätzlicher oder erheblicher finanzieller Bedeutung über den Beginn und Verlauf von Verhandlungen zu unterrichten.</w:t>
      </w:r>
    </w:p>
    <w:p>
      <w:r>
        <w:t xml:space="preserve">(4) Verpflichtungen für laufende Geschäfte dürfen eingegangen werden, ohne dass die Voraussetzungen der Absätze 1 und 2 vorliegen. Das Nähere regelt das Finanzministerium.</w:t>
      </w:r>
    </w:p>
    <w:p>
      <w:r>
        <w:rPr>
          <w:color w:val="555555"/>
          <w:sz w:val="17"/>
        </w:rPr>
        <w:t xml:space="preserve">Zitiervorschlag: § 38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