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NW_27976 (Nordrhein-Westfalen) — Übertragbarkeit</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Ausgaben für Investitionen und Ausgaben aus zweckgebundenen Einnahmen sind übertragbar. Andere Ausgaben können im Haushaltsgesetz oder im Haushaltsplan für übertragbar erklärt werden, wenn dies ihre wirtschaftliche und sparsame Verwendung fördert.</w:t>
      </w:r>
    </w:p>
    <w:p>
      <w:r>
        <w:t xml:space="preserve">(2) Zur Deckung der Ausgaben, die übertragen werden sollen (Ausgabereste), sind Ausgabemittel zu veranschlagen. Die Ausgabemittel sollen so bemessen werden, dass sie zur Deckung der Ausgabereste ausreichen, deren Verausgabung im nächsten Haushaltsjahr erforderlich ist; nicht zu berücksichtigen sind Ausgabereste, für die Mittel aus kassenmäßigen Minderausgaben im nächsten Haushaltsjahr voraussichtlich bereitgestellt werden können.</w:t>
      </w:r>
    </w:p>
    <w:p>
      <w:r>
        <w:rPr>
          <w:color w:val="555555"/>
          <w:sz w:val="17"/>
        </w:rPr>
        <w:t xml:space="preserve">Zitiervorschlag: § 19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