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18e NW_27976 (Nordrhein-Westfalen) — Ermittlung und Wirkung der Konjunkturkomponente nach Haushaltsabschluss(Ex-post-Konjunkturkomponente)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Ablauf des Haushaltsjahres wird die Ex-post-Konjunkturkomponente bestimmt. Die Ex-post-Konjunkturkomponente setzt sich aus der Ex-ante-Konjunkturkomponente und der Steuerabweichungskomponente zusammen. Das Ergebnis ist dem Landtag bis zum 30. April des Folgejahres mitzuteilen.</w:t>
      </w:r>
    </w:p>
    <w:p>
      <w:r>
        <w:t xml:space="preserve">(2) Die Steuerabweichungskomponente errechnet sich als Differenz zwischen den tatsächlichen Steuereinnahmen nach Abschluss des Haushaltsjahres und den bei der Haushaltsaufstellung erwarteten Steuereinnahmen nach § 18d Absatz 2. Die Differenz nach Satz 1 ist um die Auswirkungen von Rechtsänderungen auf die Steuereinnahmen, die zum Zeitpunkt der Haushaltsaufstellung noch nicht bekannt waren und bis zum Ende des abgelaufenen Haushaltsjahrs kassenwirksam wurden, zu bereinigen.</w:t>
      </w:r>
    </w:p>
    <w:p>
      <w:r>
        <w:t xml:space="preserve">(3) Ist der Wert der ermittelten Ex-post-Konjunkturkomponente positiv, sind in dieser Höhe seit 2020 aufgenommene Kredite zu tilgen. Die Pflicht entfällt, soweit auf dem Kreditaufnahmekonto nach § 18f keine Kredite erfasst sind. Ist der Wert der ermittelten Ex-post-Konjunkturkomponente negativ, ist eine Aufnahme von Krediten zum Ausgleich des Haushalts in Höhe dieses Wertes zulässig.</w:t>
      </w:r>
    </w:p>
    <w:p>
      <w:r>
        <w:rPr>
          <w:color w:val="555555"/>
          <w:sz w:val="17"/>
        </w:rPr>
        <w:t xml:space="preserve">Zitiervorschlag: § 18e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https://recht.nulegal.eu/gesetze/NW_27976/18e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