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18c NW_27976 (Nordrhein-Westfalen) — Konjunkturkomponente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Feststellung der Auswirkungen einer Abweichung von der Normallage auf den Landeshaushalt orientiert sich am Verfahren des Stabilitätsrats gemäß Artikel 109a Absatz 2 des Grundgesetzes.</w:t>
      </w:r>
    </w:p>
    <w:p>
      <w:r>
        <w:t xml:space="preserve">(2) Das Ministerium der Finanzen ermittelt hierzu bei der Haushaltsaufstellung (ex ante) und nach Haushaltsabschluss (ex post) jeweils eine Konjunkturkomponente.</w:t>
      </w:r>
    </w:p>
    <w:p>
      <w:r>
        <w:t xml:space="preserve">(3) Das Verfahren zur Ermittlung der Konjunkturkomponente ist regelmäßig unter Berücksichtigung des Standes der Wissenschaft zu überprüfen und fortzuentwickeln.</w:t>
      </w:r>
    </w:p>
    <w:p>
      <w:r>
        <w:rPr>
          <w:color w:val="555555"/>
          <w:sz w:val="17"/>
        </w:rPr>
        <w:t xml:space="preserve">Zitiervorschlag: § 18c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https://recht.nulegal.eu/gesetze/NW_27976/18c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18c NW_27976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