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18a NW_27976 (Nordrhein-Westfalen) — Grundsätze für die Veranschlagung von Kreditaufnahmen zur Deckung von Ausgaben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Haushalt ist grundsätzlich ohne Einnahmen aus Krediten auszugleichen. Dem Grundsatz nach Satz 1 ist entsprochen, wenn die Einnahmen aus Krediten die zulässige strukturelle Kreditaufnahme nach § 18i nicht überschreiten.</w:t>
      </w:r>
    </w:p>
    <w:p>
      <w:r>
        <w:t xml:space="preserve">(2) In Ausnahmesituationen im Sinne von § 18b kann von Absatz 1 Satz 1 abgewichen werden.</w:t>
      </w:r>
    </w:p>
    <w:p>
      <w:r>
        <w:t xml:space="preserve">(3) Bei einer von der Normallage abweichenden konjunkturellen Entwicklung kann von Absatz 1 Satz 1 abgewichen werden. In diesem Fall sind die Auswirkungen auf den Haushalt nach Maßgabe der §§ 18c bis 18g im Auf- und Abschwung symmetrisch zu berücksichtigen. Die symmetrische Berücksichtigung nach Satz 2 ist nur vorzunehmen, soweit ein Haushaltsausgleich durch Einnahmen aus Krediten nach Satz 1 erfolgt oder der Wert des Kreditaufnahmekontos nach § 18f nicht dem Wert „Null“ entspricht.</w:t>
      </w:r>
    </w:p>
    <w:p>
      <w:r>
        <w:t xml:space="preserve">(4) Kreditaufnahmen durch Sondervermögen des Landes sind ausgeschlossen. Am 31. Dezember 2010 bestehende Kreditermächtigungen für bereits eingerichtete Sondervermögen bleiben hiervon unberührt.</w:t>
      </w:r>
    </w:p>
    <w:p>
      <w:r>
        <w:rPr>
          <w:color w:val="555555"/>
          <w:sz w:val="17"/>
        </w:rPr>
        <w:t xml:space="preserve">Zitiervorschlag: § 18a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https://recht.nulegal.eu/gesetze/NW_27976/18a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