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NW_27976 (Nordrhein-Westfalen) — Kreditermächtigungen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Haushaltsgesetz bestimmt, bis zu welcher Höhe das Ministerium der Finanzen Kredite aufnehmen darf</w:t>
      </w:r>
    </w:p>
    <w:p>
      <w:r>
        <w:t xml:space="preserve">1. zur Deckung von Ausgaben unter den Voraussetzungen des § 18a,</w:t>
      </w:r>
    </w:p>
    <w:p>
      <w:r>
        <w:t xml:space="preserve">2. zur Tilgung von im jeweiligen Haushaltsjahr fällig werdender Kredite</w:t>
      </w:r>
    </w:p>
    <w:p>
      <w:r>
        <w:t xml:space="preserve">a) am Kreditmarkt und</w:t>
      </w:r>
    </w:p>
    <w:p>
      <w:r>
        <w:t xml:space="preserve">b) bei Gebietskörperschaften, Sondervermögen und gebietskörperschaftlichen Zusammenschlüssen (öffentlicher Bereich),</w:t>
      </w:r>
    </w:p>
    <w:p>
      <w:r>
        <w:t xml:space="preserve">3. zur Aufrechterhaltung einer ordnungsmäßigen Kassenwirtschaft (Kassenverstärkungskredite).</w:t>
      </w:r>
    </w:p>
    <w:p>
      <w:r>
        <w:t xml:space="preserve">Soweit die Kassenverstärkungskredite nach Satz 1 Nummer 3 zurückgezahlt sind, kann die Ermächtigung wiederholt in Anspruch genommen werden. Kassenverstärkungskredite dürfen nicht später als sechs Monate nach Ablauf des Haushaltsjahres, für das sie aufgenommen worden sind, fällig werden.</w:t>
      </w:r>
    </w:p>
    <w:p>
      <w:r>
        <w:t xml:space="preserve">(2) Die Ermächtigungen nach Absatz 1 Satz 1 Nummer 1 gelten bis zum Ende des nächsten Haushaltsjahres und, wenn das Haushaltsgesetz für das zweitnächste Haushaltsjahr nicht rechtzeitig verkündet wird, bis zur Verkündung dieses Haushaltsgesetzes. Die Ermächtigungen nach Absatz 1 Satz 1 Nummer 2 gelten bis zum Ende des laufenden Haushaltsjahres und, wenn das Haushaltsgesetz für das nächste Haushaltsjahr nicht rechtzeitig verkündet wird, bis zur Verkündung dieses Haushaltsgesetzes.</w:t>
      </w:r>
    </w:p>
    <w:p>
      <w:r>
        <w:rPr>
          <w:color w:val="555555"/>
          <w:sz w:val="17"/>
        </w:rPr>
        <w:t xml:space="preserve">Zitiervorschlag: § 18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