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117 NW_27976 (Nordrhein-Westfalen) — Übergangsregelung</w:t>
      </w:r>
    </w:p>
    <w:p>
      <w:r>
        <w:rPr>
          <w:color w:val="555555"/>
          <w:sz w:val="18"/>
        </w:rPr>
        <w:t xml:space="preserve">Landeshaushaltsordnung (LHO);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65 und §§ 65a bis 65c in der Fassung des Gesetzes zur Schaffung von mehr Transparenz in öffentlichen Unternehmen im Lande Nordrhein-Westfalen vom 17. Dezember 2009(GV. NRW. S. 950) sind erstmals auf Jahres- und Konzernabschlüsse für das nach dem 31. Dezember 2009 beginnende Geschäftsjahr anzuwenden.</w:t>
      </w:r>
    </w:p>
    <w:p>
      <w:r>
        <w:rPr>
          <w:color w:val="555555"/>
          <w:sz w:val="17"/>
        </w:rPr>
        <w:t xml:space="preserve">Zitiervorschlag: § 117 NW_27976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https://recht.nulegal.eu/gesetze/NW_27976/117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117 NW_27976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