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NW_27976 (Nordrhein-Westfalen) — Grundsatz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Sondervermögen des Landes sind die Teile I bis IV, VIII und IX dieses Gesetzes entsprechend anzuwenden, soweit nicht durch Gesetz oder auf Grund eines Gesetzes etwas anderes bestimmt ist. Der Landesrechnungshof prüft die Haushalts- und Wirtschaftsführung der Sondervermögen; Teil V dieses Gesetzes ist entsprechend anzuwenden.</w:t>
      </w:r>
    </w:p>
    <w:p>
      <w:r>
        <w:t xml:space="preserve">Teil VIII</w:t>
      </w:r>
    </w:p>
    <w:p>
      <w:r>
        <w:t xml:space="preserve">Entlastung</w:t>
      </w:r>
    </w:p>
    <w:p>
      <w:r>
        <w:rPr>
          <w:color w:val="555555"/>
          <w:sz w:val="17"/>
        </w:rPr>
        <w:t xml:space="preserve">Zitiervorschlag: § 113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https://recht.nulegal.eu/gesetze/NW_27976/113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