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10a NW_27976 (Nordrhein-Westfalen) — Geheimhaltungsbedürftige Angelegenheiten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Ausgaben, deren Verwendung geheimzuhalten ist, kann der Haushaltsplan bestimmen, dass die Prüfung durch den Landesrechnungshof nach § 9 des Gesetzes über den Landesrechnungshof Nordrhein-Westfalen vorgenommen wird.</w:t>
      </w:r>
    </w:p>
    <w:p>
      <w:r>
        <w:t xml:space="preserve">(2) Aus zwingenden Gründen des Geheimschutzes wird die Bewilligung von Ausgaben, die nach einem geheimzuhaltenden Wirtschaftsplan bewirtschaftet werden sollen, im Haushaltsgesetzgebungsverfahren von der Einwilligung zu dem Wirtschaftsplan durch das Gremium nach § 50 des Verfassungsschutzgesetzes Nordrhein-Westfalen vom 18. November 2025 (GV. NRW. S. 988) abhängig gemacht.</w:t>
      </w:r>
    </w:p>
    <w:p>
      <w:r>
        <w:t xml:space="preserve">§ 53 Absatz 2 des Verfassungsschutzgesetzes Nordrhein-Westfalen findet entsprechende Anwendung.</w:t>
      </w:r>
    </w:p>
    <w:p>
      <w:r>
        <w:t xml:space="preserve">(3) Der Landesrechnungshof prüft in den Fällen des Absatz 2 nach § 9 des Gesetzes über den Landesrechnungshof Nordrhein-Westfalen und unterrichtet das Gremium sowie die zuständige oberste Landesbehörde und das Finanzministerium über das Ergebnis seiner Prüfung der Jahresrechnung sowie der Haushalts- und Wirtschaftsführung. § 97 Abs. 4 bleibt unberührt.</w:t>
      </w:r>
    </w:p>
    <w:p>
      <w:r>
        <w:t xml:space="preserve">Teil II</w:t>
      </w:r>
    </w:p>
    <w:p>
      <w:r>
        <w:t xml:space="preserve">Aufstellung des Haushaltsplans</w:t>
      </w:r>
    </w:p>
    <w:p>
      <w:r>
        <w:t xml:space="preserve">und des Finanzplans</w:t>
      </w:r>
    </w:p>
    <w:p>
      <w:r>
        <w:rPr>
          <w:color w:val="555555"/>
          <w:sz w:val="17"/>
        </w:rPr>
        <w:t xml:space="preserve">Zitiervorschlag: § 10a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https://recht.nulegal.eu/gesetze/NW_27976/10a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