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NW_27961 (Nordrhein-Westfalen) — Kämmerer / Kämmerin des Landschaftsverbandes</w:t>
      </w:r>
    </w:p>
    <w:p>
      <w:r>
        <w:rPr>
          <w:color w:val="555555"/>
          <w:sz w:val="18"/>
        </w:rPr>
        <w:t xml:space="preserve">Betriebssatzung für das LWL-Jugendhilfezentrum Marl, das LWL-Heilpädagogische Kinderheim Hamm und das LWL-Jugendheim Tecklenburg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Betriebsleitung hat dem Kämmerer/der Kämmerin oder dem/der sonst für das Finanzwesen zuständigen Beamten/Beamtin den Entwurf der Wirtschaftsplans und des Jahresabschlusses, die Zwischenberichte, die Ergebnisse der Betriebsstatistik und die Kostenrechnungen zuzuleiten; sie hat ihm / ihr ferner auf Anfordern alle sonstigen finanzwirtschaftlichen Auskünfte zu erteilen.</w:t>
      </w:r>
    </w:p>
    <w:p>
      <w:r>
        <w:rPr>
          <w:color w:val="555555"/>
          <w:sz w:val="17"/>
        </w:rPr>
        <w:t xml:space="preserve">Zitiervorschlag: § 9 NW_27961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