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NW_27961 (Nordrhein-Westfalen) — Landschaftsversammlung</w:t>
      </w:r>
    </w:p>
    <w:p>
      <w:r>
        <w:rPr>
          <w:color w:val="555555"/>
          <w:sz w:val="18"/>
        </w:rPr>
        <w:t xml:space="preserve">Betriebssatzung für das LWL-Jugendhilfezentrum Marl, das LWL-Heilpädagogische Kinderheim Hamm und das LWL-Jugendheim Tecklenburg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Landschaftsversammlung beschließt über die Angelegenheiten, die sie nach der Landschaftsverbandsordnung nicht übertragen kann und über:</w:t>
      </w:r>
    </w:p>
    <w:p>
      <w:r>
        <w:t xml:space="preserve">1. Feststellung und Änderung der Wirtschaftspläne,</w:t>
      </w:r>
    </w:p>
    <w:p>
      <w:r>
        <w:t xml:space="preserve">2. Feststellung der Jahresabschlüsse und die Verwendung der Gewinne bzw. die Deckung von Verlusten und die Entlastung des Betriebsausschusses.</w:t>
      </w:r>
    </w:p>
    <w:p>
      <w:r>
        <w:t xml:space="preserve">3. Die Rückzahlung von Eigenkapital an den Landschaftsverband.</w:t>
      </w:r>
    </w:p>
    <w:p>
      <w:r>
        <w:t xml:space="preserve">(2) Der Landschaftsversammlung werden die Finanzpläne vorgelegt.</w:t>
      </w:r>
    </w:p>
    <w:p>
      <w:r>
        <w:t xml:space="preserve">(3) Jahresabschluss, Lagebericht und ggf. die Erfolgsübersicht sind bis zum Ablauf von drei Monaten nach Ende des Wirtschaftsjahres aufzustellen.</w:t>
      </w:r>
    </w:p>
    <w:p>
      <w:r>
        <w:rPr>
          <w:color w:val="555555"/>
          <w:sz w:val="17"/>
        </w:rPr>
        <w:t xml:space="preserve">Zitiervorschlag: § 5 NW_27961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https://recht.nulegal.eu/gesetze/NW_27961/5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NW_27961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