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NW_27961 (Nordrhein-Westfalen) — Betriebsleitung der Jugendheime</w:t>
      </w:r>
    </w:p>
    <w:p>
      <w:r>
        <w:rPr>
          <w:color w:val="555555"/>
          <w:sz w:val="18"/>
        </w:rPr>
        <w:t xml:space="preserve">Betriebssatzung für das LWL-Jugendhilfezentrum Marl, das LWL-Heilpädagogische Kinderheim Hamm und das LWL-Jugendheim Tecklenburg des Landschaftsverbandes Westfalen-Lippe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Es wird für die Jugendheime je ein Betriebsleiter/eine Betriebsleiterin und je ein stellvertretender Betriebsleiter/eine stellvertretende Betriebsleiterin bestellt.</w:t>
      </w:r>
    </w:p>
    <w:p>
      <w:r>
        <w:t xml:space="preserve">(2) Die Betriebsleitungen und in ihrer Abwesenheit die stellvertretenden Betriebsleitungen vertreten den Landschaftsverband Westfalen-Lippe jeweils in den Angelegenheiten ihres Jugendheimes, die ihrer eigenen Entscheidung oder der Entscheidung des Ausschusses Jugendheime unterliegen.</w:t>
      </w:r>
    </w:p>
    <w:p>
      <w:r>
        <w:rPr>
          <w:color w:val="555555"/>
          <w:sz w:val="17"/>
        </w:rPr>
        <w:t xml:space="preserve">Zitiervorschlag: § 3 NW_27961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https://recht.nulegal.eu/gesetze/NW_27961/3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