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NW_27931 (Nordrhein-Westfalen) — Verjährung</w:t>
      </w:r>
    </w:p>
    <w:p>
      <w:r>
        <w:rPr>
          <w:color w:val="555555"/>
          <w:sz w:val="18"/>
        </w:rPr>
        <w:t xml:space="preserve">StBVG NW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Für die Verjährung der satzungsgemäßen Ansprüche auf Leistungen und Beiträge gelten die Vorschriften des Bürgerlichen Gesetzbuchs entsprechend.</w:t>
      </w:r>
    </w:p>
    <w:p>
      <w:r>
        <w:rPr>
          <w:color w:val="555555"/>
          <w:sz w:val="17"/>
        </w:rPr>
        <w:t xml:space="preserve">Zitiervorschlag: § 11 NW_27931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https://recht.nulegal.eu/gesetze/NW_27931/11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