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NW_27928 (Nordrhein-Westfalen) — Inkrafttreten</w:t>
      </w:r>
    </w:p>
    <w:p>
      <w:r>
        <w:rPr>
          <w:color w:val="555555"/>
          <w:sz w:val="18"/>
        </w:rPr>
        <w:t xml:space="preserve">Regelung über die Entschädigung der ehrenamtlichen Mitglieder der Selbstverwaltungsorgane und der von den Selbstverwaltungsorganen gebildeten Ausschüsse der Landesunfallkasse Nordrhein-Westfalen - Entschädigungsregelung Landesunfallkasse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Regelung tritt vorbehaltlich der Genehmigung der Aufsichtsbehörde nach § 41 Abs. 4 Satz 2 SGB IV mit Wirkung vom 1. Juli 1998 in Kraft.</w:t>
      </w:r>
    </w:p>
    <w:p>
      <w:r>
        <w:t xml:space="preserve">Die vorstehende Entschädigungsregelung wurde mit Schreiben des Landesversicherungsamtes Nordrhein-Westfalen vom 23. November 1998 - I - 2 - 3546.117 - gemäß § 41 Abs. 4 Satz 3 SGB IV genehmigt.</w:t>
      </w:r>
    </w:p>
    <w:p>
      <w:r>
        <w:t xml:space="preserve">Vorgelegt vom Vorstand</w:t>
      </w:r>
    </w:p>
    <w:p>
      <w:r>
        <w:t xml:space="preserve">C a r d o l</w:t>
      </w:r>
    </w:p>
    <w:p>
      <w:r>
        <w:t xml:space="preserve">Vorsitzender</w:t>
      </w:r>
    </w:p>
    <w:p>
      <w:r>
        <w:t xml:space="preserve">Beschlossen von der Vertreterversammlung</w:t>
      </w:r>
    </w:p>
    <w:p>
      <w:r>
        <w:t xml:space="preserve">S c h ü ß l e r</w:t>
      </w:r>
    </w:p>
    <w:p>
      <w:r>
        <w:t xml:space="preserve">Vorsitzender</w:t>
      </w:r>
    </w:p>
    <w:p>
      <w:r>
        <w:rPr>
          <w:color w:val="555555"/>
          <w:sz w:val="17"/>
        </w:rPr>
        <w:t xml:space="preserve">Zitiervorschlag: § 7 NW_27928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https://recht.nulegal.eu/gesetze/NW_27928/7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