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NW_27928 (Nordrhein-Westfalen) — Öffentliche Bekanntmachung</w:t>
      </w:r>
    </w:p>
    <w:p>
      <w:r>
        <w:rPr>
          <w:color w:val="555555"/>
          <w:sz w:val="18"/>
        </w:rPr>
        <w:t xml:space="preserve">Regelung über die Entschädigung der ehrenamtlichen Mitglieder der Selbstverwaltungsorgane und der von den Selbstverwaltungsorganen gebildeten Ausschüsse der Landesunfallkasse Nordrhein-Westfalen - Entschädigungsregelung Landesunfallkasse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Entschädigungsregelung ist öffentlich bekanntzumachen (§ 1 Abs. 5 der Satzung).</w:t>
      </w:r>
    </w:p>
    <w:p>
      <w:r>
        <w:rPr>
          <w:color w:val="555555"/>
          <w:sz w:val="17"/>
        </w:rPr>
        <w:t xml:space="preserve">Zitiervorschlag: § 6 NW_27928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