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NW_27926 (Nordrhein-Westfalen) — Inkrafttreten</w:t>
      </w:r>
    </w:p>
    <w:p>
      <w:r>
        <w:rPr>
          <w:color w:val="555555"/>
          <w:sz w:val="18"/>
        </w:rPr>
        <w:t xml:space="preserve">Fn 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ihrer Verkündung in Kraft.</w:t>
      </w:r>
    </w:p>
    <w:p>
      <w:r>
        <w:t xml:space="preserve">Ministerium für Umwelt,</w:t>
      </w:r>
    </w:p>
    <w:p>
      <w:r>
        <w:t xml:space="preserve">Raumordnung und Landwirtschaft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170 des Vierten Befristungsgesetzes vom 5.4.2005 (GV. NRW. S. 332))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7 NW_27926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https://recht.nulegal.eu/gesetze/NW_27926/7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