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6a NW_27926 (Nordrhein-Westfalen) — Ordnungswidrigkeiten</w:t>
      </w:r>
    </w:p>
    <w:p>
      <w:r>
        <w:rPr>
          <w:color w:val="555555"/>
          <w:sz w:val="18"/>
        </w:rPr>
        <w:t xml:space="preserve">Fn 4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Ordnungswidrig nach § 123 Absatz 1 Nummer 26 des Landeswassergesetzes handelt, wer vorsätzlich oder fahrlässig entgegen § 5 Absatz 2 und 3 seine Anlage nicht oder nicht fristgerecht anzeigt oder sich entgegen § 5 Absatz 5 und 6 nicht oder nicht rechtzeitig beraten lässt.</w:t>
      </w:r>
    </w:p>
    <w:p>
      <w:r>
        <w:rPr>
          <w:color w:val="555555"/>
          <w:sz w:val="17"/>
        </w:rPr>
        <w:t xml:space="preserve">Zitiervorschlag: § 6a NW_27926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https://recht.nulegal.eu/gesetze/NW_27926/6a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