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NW_27904 (Nordrhein-Westfalen)</w:t>
      </w:r>
    </w:p>
    <w:p>
      <w:r>
        <w:rPr>
          <w:color w:val="555555"/>
          <w:sz w:val="18"/>
        </w:rPr>
        <w:t xml:space="preserve">Kommunalwahlgesetz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Wahlberechtigt für die Wahl in einem Wahlgebiet ist, wer am Wahltag Deutscher im Sinne von Artikel 116 Abs. 1 des Grundgesetzes ist oder die Staatsangehörigkeit eines Mitgliedstaates der Europäischen Union besitzt, das sechzehnte Lebensjahr vollendet hat und mindestens seit dem 16. Tag vor der Wahl in dem Wahlgebiet seine Wohnung, bei mehreren Wohnungen seine Hauptwohnung hat oder sich sonst gewöhnlich aufhält und keine Wohnung außerhalb des Wahlgebiets hat.</w:t>
      </w:r>
    </w:p>
    <w:p>
      <w:r>
        <w:rPr>
          <w:color w:val="555555"/>
          <w:sz w:val="17"/>
        </w:rPr>
        <w:t xml:space="preserve">Zitiervorschlag: § 7 NW_27904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NW_27904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