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teilt, soweit erforderlich, die Wahlbezirke in Stimmbezirke ein.</w:t>
      </w:r>
    </w:p>
    <w:p>
      <w:r>
        <w:t xml:space="preserve">(2) Die Stimmbezirke sollen nach den örtlichen Verhältnissen so abgegrenzt sein, dass allen Wahlberechtigten die Teilnahme an der Wahl möglichst erleichtert wird. Die Verwaltungsbezirksgrenzen sollen eingehalten werden. Kein Stimmbezirk soll mehr als 2500 Einwohner umfassen. Die Einwohnerzahl eines Stimmbezirks darf nicht so gering sein, dass sich die Wahlentscheidung der einzelnen Wahlberechtigten ermitteln ließe.</w:t>
      </w:r>
    </w:p>
    <w:p>
      <w:r>
        <w:t xml:space="preserve">(3) Finden Gemeinde- und Kreiswahlen gleichzeitig statt (verbundene Wahlen), so müssen die Stimmbezirke für beide Wahlen dieselben sein. Der Bürgermeister hat dem Landrat die Abgrenzung der Wahlbezirke und der Stimmbezirke in seiner Gemeinde mitzuteilen.</w:t>
      </w:r>
    </w:p>
    <w:p>
      <w:r>
        <w:rPr>
          <w:color w:val="555555"/>
          <w:sz w:val="17"/>
        </w:rPr>
        <w:t xml:space="preserve">Zitiervorschlag: § 5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