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46e NW_27904 (Nordrhein-Westfalen)</w:t>
      </w:r>
    </w:p>
    <w:p>
      <w:r>
        <w:rPr>
          <w:color w:val="555555"/>
          <w:sz w:val="18"/>
        </w:rPr>
        <w:t xml:space="preserve">Kommunalwahlgesetz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Bürgermeister oder der Landrat darf an der Beratung und Entscheidung der Vertretung über die Gültigkeit seiner Wahl oder Abwahl (§ 40) nicht mitwirken.</w:t>
      </w:r>
    </w:p>
    <w:p>
      <w:r>
        <w:t xml:space="preserve">(2) Nach der Gemeindeordnung oder Kreisordnung wählbare Bewerber für das Amt des Bürgermeisters oder des Landrats können auch dann gegen die Gültigkeit der Wahl binnen eines Monats nach Bekanntgabe des Wahlergebnisses Einspruch erheben, wenn sie nicht wahlberechtigt gemäß § 7 sind.</w:t>
      </w:r>
    </w:p>
    <w:p>
      <w:r>
        <w:t xml:space="preserve">VI.c Wahl der Verbandsversammlung des Regionalverbands Ruhr</w:t>
      </w:r>
    </w:p>
    <w:p>
      <w:r>
        <w:rPr>
          <w:color w:val="555555"/>
          <w:sz w:val="17"/>
        </w:rPr>
        <w:t xml:space="preserve">Zitiervorschlag: § 46e NW_27904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https://recht.nulegal.eu/gesetze/NW_27904/46e</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46e NW_27904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