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 NW_27904 (Nordrhein-Westfalen)</w:t>
      </w:r>
    </w:p>
    <w:p>
      <w:r>
        <w:rPr>
          <w:color w:val="555555"/>
          <w:sz w:val="18"/>
        </w:rPr>
        <w:t xml:space="preserve">Kommunalwahlgesetz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der Beschluß über die Neufeststellung des Wahlergebnisses gemäß § 40 Abs. 1 Buchstabe c unanfechtbar geworden oder im verwaltungsgerichtlichen Verfahren rechtskräftig bestätigt, so hat der von der neuen Vertretung gewählte Wahlausschuß das Ergebnis neu festzustellen. Er ist hierbei an die Grundsätze der Entscheidung gemäß Satz 1 gebunden.</w:t>
      </w:r>
    </w:p>
    <w:p>
      <w:r>
        <w:t xml:space="preserve">(2) Das Wahlergebnis ist vom Wahlleiter neu bekanntzumachen. Auf seine Nachprüfung finden die Vorschriften der §§ 39 bis 41 Anwendung.</w:t>
      </w:r>
    </w:p>
    <w:p>
      <w:r>
        <w:rPr>
          <w:color w:val="555555"/>
          <w:sz w:val="17"/>
        </w:rPr>
        <w:t xml:space="preserve">Zitiervorschlag: § 43 NW_27904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https://recht.nulegal.eu/gesetze/NW_27904/43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 NW_27904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