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neue Vertretung hat nach Vorprüfung durch einen hierfür gewählten Ausschuß unverzüglich über die Einsprüche sowie über die Gültigkeit der Wahl von Amts wegen in folgender Weise zu beschließen:</w:t>
      </w:r>
    </w:p>
    <w:p>
      <w:r>
        <w:t xml:space="preserve">a) Wird die Wahl wegen mangelnder Wählbarkeit eines Vertreters für ungültig erachtet, so ist das Ausscheiden dieses Vertreters anzuordnen.</w:t>
      </w:r>
    </w:p>
    <w:p>
      <w:r>
        <w:t xml:space="preserve">b) Wird festgestellt, daß bei der Vorbereitung der Wahl oder bei der Wahlhandlung Unregelmäßigkeiten vorgekommen sind, die im jeweils vorliegenden Einzelfall auf das Wahlergebnis im Wahlbezirk oder auf die Zuteilung der Sitze aus der Reserveliste von entscheidendem Einfluß gewesen sein können, so ist die Wahl in dem aus § 42 Abs. 1 ersichtlichen Umfang für ungültig zu erklären und dementsprechend eine Wiederholungswahl anzuordnen (§ 42).</w:t>
      </w:r>
    </w:p>
    <w:p>
      <w:r>
        <w:t xml:space="preserve">c) Wird die Feststellung des Wahlergebnisses für ungültig erklärt, so ist sie aufzuheben und eine Neufeststellung anzuordnen (§ 43). Ist die Neufeststellung nicht möglich, weil die Wahlunterlagen verlorengegangen sind oder wesentliche Mängel aufweisen, und kann dies im jeweils vorliegenden Einzelfall auf das Wahlergebnis im Wahlbezirk oder auf die Zuteilung der Sitze aus der Reserveliste von entscheidendem Einfluß sein, so gilt Buchstabe b entsprechend.</w:t>
      </w:r>
    </w:p>
    <w:p>
      <w:r>
        <w:t xml:space="preserve">d) Wird festgestellt, daß keiner der unter Buchstaben a bis c genannten Fälle vorliegt, so ist die Wahl für gültig zu erklären.</w:t>
      </w:r>
    </w:p>
    <w:p>
      <w:r>
        <w:t xml:space="preserve">(2) Die Mitglieder der Vertretung sind auch dann nicht gehindert, an der Entscheidung gemäß Absatz 1 mitzuwirken, wenn sich die Feststellungen im Einzelfall auf ihre Wahl erstrecken.</w:t>
      </w:r>
    </w:p>
    <w:p>
      <w:r>
        <w:t xml:space="preserve">(3) Die Vertreter scheiden aus, sobald der Beschluß der Vertretung unanfechtbar geworden oder im verwaltungsgerichtlichen Verfahren rechtskräftig bestätigt ist. Die Rechtswirksamkeit ihrer bisherigen Tätigkeit wird durch das Ausscheiden nicht berührt.</w:t>
      </w:r>
    </w:p>
    <w:p>
      <w:r>
        <w:t xml:space="preserve">(4) Die Vertretung kann mit einer Mehrheit von zwei Dritteln ihrer Mitglieder beschließen, daß ein Mitglied, dessen Wahl für ungültig erklärt ist, bis zur Unanfechtbarkeit des Beschlusses der Vertretung bzw. bis zur Rechtskraft der verwaltungsgerichtlichen Entscheidung nicht an der Arbeit der Vertretung teilnehmen darf.</w:t>
      </w:r>
    </w:p>
    <w:p>
      <w:r>
        <w:rPr>
          <w:color w:val="555555"/>
          <w:sz w:val="17"/>
        </w:rPr>
        <w:t xml:space="preserve">Zitiervorschlag: § 40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NW_27904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