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 NW_27904 (Nordrhein-Westfalen)</w:t>
      </w:r>
    </w:p>
    <w:p>
      <w:r>
        <w:rPr>
          <w:color w:val="555555"/>
          <w:sz w:val="18"/>
        </w:rPr>
        <w:t xml:space="preserve">Kommunalwahlgesetz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Gegen die Gültigkeit der Wahl können</w:t>
      </w:r>
    </w:p>
    <w:p>
      <w:r>
        <w:t xml:space="preserve">jeder Wahlberechtigte des Wahlgebiets,</w:t>
      </w:r>
    </w:p>
    <w:p>
      <w:r>
        <w:t xml:space="preserve">die für das Wahlgebiet zuständige Leitung solcher Parteien und Wählergruppen, die an der Wahl teilgenommen haben, sowie</w:t>
      </w:r>
    </w:p>
    <w:p>
      <w:r>
        <w:t xml:space="preserve">die Aufsichtsbehörde</w:t>
      </w:r>
    </w:p>
    <w:p>
      <w:r>
        <w:t xml:space="preserve">binnen eines Monats nach Bekanntgabe des Wahlergebnisses Einspruch erheben, wenn sie eine Entscheidung über die Gültigkeit der Wahl gemäß § 40 Abs. 1 Buchstaben a bis c für erforderlich halten. Werden der Aufsichtsbehörde nach Ablauf der Frist des Satzes 1 in amtlicher Eigenschaft Umstände bekannt, aufgrund derer diese eine Entscheidung über die Gültigkeit der Wahl gemäß § 40 Absatz 1 Buchstabe a bis c für erforderlich hält, kann diese innerhalb eines Monats nach Bekanntwerden dieser Umstände Einspruch einlegen. Der Einspruch ist bei dem Wahlleiter schriftlich einzureichen oder mündlich zur Niederschrift zu erklären.</w:t>
      </w:r>
    </w:p>
    <w:p>
      <w:r>
        <w:t xml:space="preserve">(2) Gegen die von den Wahlbehörden bei der Vorbereitung der Wahl oder bei der Wahlhandlung getroffenen Entscheidungen kann Einspruch gemäß Absatz 1 eingelegt werden, um eine Entscheidung über die Gültigkeit der Wahl gemäß § 40 Abs. 1 herbeizuführen. § 9 Abs. 3 Satz 2, § 11, § 18 Abs. 4 bleiben unberührt.</w:t>
      </w:r>
    </w:p>
    <w:p>
      <w:r>
        <w:rPr>
          <w:color w:val="555555"/>
          <w:sz w:val="17"/>
        </w:rPr>
        <w:t xml:space="preserve">Zitiervorschlag: § 39 NW_27904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https://recht.nulegal.eu/gesetze/NW_27904/39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