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NW_27901 (Nordrhein-Westfalen)</w:t>
      </w:r>
    </w:p>
    <w:p>
      <w:r>
        <w:rPr>
          <w:color w:val="555555"/>
          <w:sz w:val="18"/>
        </w:rPr>
        <w:t xml:space="preserve">Bekanntmachung des Staatsvertrags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 Abweichend von Satz 1 kann der Freistaat Sachsen den Staatsvertrag mit einer Frist von einem Jahr kündigen, wenn die Bestimmungen des Gesetzes über die Versorgung der Wirtschaftsprüfer und der vereidigten Buchprüfer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Falle der Kündigung übernimmt ein durch den Freistaat Sachsen innerhalb der Kündigungsfrist zu bestimmender Rechtsträger als 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versicherungstechnischen Verbindlichkeiten, die den ausscheidenden Mitgliederbestand betreffen, zu den versicherungstechnischen Verbindlichkeiten des verbleibenden Bestandes aufzuteilen; soweit nichtversicherungstechnische Verbindlichkeiten von dem Rechtsnachfolger übernommen werden, sind ihm die entsprechende Deckungsmittel zu überlassen. Bei der Verteilung des Vermögens sind die im Freistaat Sachsen angelegten Vermögenswerte auf Verlangen an den 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Sächsischen Staatsministerium für Wirtschaft und Arbeit herzustellen.</w:t>
      </w:r>
    </w:p>
    <w:p>
      <w:r>
        <w:rPr>
          <w:color w:val="555555"/>
          <w:sz w:val="17"/>
        </w:rPr>
        <w:t xml:space="preserve">Zitiervorschlag: Art 7 NW_27901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