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NW_27895 (Nordrhein-Westfalen)</w:t>
      </w:r>
    </w:p>
    <w:p>
      <w:r>
        <w:rPr>
          <w:color w:val="555555"/>
          <w:sz w:val="18"/>
        </w:rPr>
        <w:t xml:space="preserve">ArbSchVO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</w:t>
      </w:r>
    </w:p>
    <w:p>
      <w:r>
        <w:t xml:space="preserve">Die Landesregierung</w:t>
      </w:r>
    </w:p>
    <w:p>
      <w:r>
        <w:t xml:space="preserve">Nordrhein - Westfalen</w:t>
      </w:r>
    </w:p>
    <w:p>
      <w:r>
        <w:t xml:space="preserve">Der Ministerpräsident</w:t>
      </w:r>
    </w:p>
    <w:p>
      <w:r>
        <w:t xml:space="preserve">Minister für Inneres</w:t>
      </w:r>
    </w:p>
    <w:p>
      <w:r>
        <w:t xml:space="preserve">und Justiz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170 des Vierten Befristungsgesetzes vom 5.4.2005 (GV. NRW. S. 332))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NW_27895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https://recht.nulegal.eu/gesetze/NW_27895/3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