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NW_27894 (Nordrhein-Westfalen)</w:t>
      </w:r>
    </w:p>
    <w:p>
      <w:r>
        <w:rPr>
          <w:color w:val="555555"/>
          <w:sz w:val="18"/>
        </w:rPr>
        <w:t xml:space="preserve">Bedarfsgewerbeverordnung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Verordnung wird erlassen</w:t>
      </w:r>
    </w:p>
    <w:p>
      <w:r>
        <w:t xml:space="preserve">a) hinsichtlich der §§ 1, 2 und 4 von der Landesregierung aufgrund des § 13 Abs. 2 Satz 1 in Verbindung mit § 13 Abs. 1 Nr.2 Buchstabe a ArbZG und</w:t>
      </w:r>
    </w:p>
    <w:p>
      <w:r>
        <w:t xml:space="preserve">b) hinsichtlich der § 3 und 4 vom Innenministerium im Einvernehmen mit dem Ministerium für Arbeit, Gesundheit und Soziales aufgrund des § 5 Abs. 6 des Landesorganisationsgesetzes.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Minister für Arbeit,</w:t>
      </w:r>
    </w:p>
    <w:p>
      <w:r>
        <w:t xml:space="preserve">Gesundheit und Soziales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NW_27894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https://recht.nulegal.eu/gesetze/NW_27894/2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