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NW_27893 (Nordrhein-Westfalen)</w:t>
      </w:r>
    </w:p>
    <w:p>
      <w:r>
        <w:rPr>
          <w:color w:val="555555"/>
          <w:sz w:val="18"/>
        </w:rPr>
        <w:t xml:space="preserve">Verordnung über die Bestimmung der zuständigen Verwaltungsbehörde für die Beantragung der Aufhebung einer Ehe durch gerichtliches Urteil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26. Mai 1998</w:t>
      </w:r>
    </w:p>
    <w:p>
      <w:r>
        <w:t xml:space="preserve">Auf Grund des § 1316 Abs. 1 Nr. 1 Satz 2 des Bürgerlichen Gesetzbuches (BGB), zuletzt geändert durch Gesetz vom 4. Mai 1998 (BGBl. I S. 833), wird verordnet:</w:t>
      </w:r>
    </w:p>
    <w:p>
      <w:r>
        <w:rPr>
          <w:color w:val="555555"/>
          <w:sz w:val="17"/>
        </w:rPr>
        <w:t xml:space="preserve">Zitiervorschlag: Volltext NW_27893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https://recht.nulegal.eu/gesetze/NW_27893/volltext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