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NW_27887 (Nordrhein-Westfalen)</w:t>
      </w:r>
    </w:p>
    <w:p>
      <w:r>
        <w:rPr>
          <w:color w:val="555555"/>
          <w:sz w:val="18"/>
        </w:rPr>
        <w:t xml:space="preserve">Gesetz zum Zweiten Staatsvertrag zwischen den Ländern Niedersachsen und Nordrhein-Westfalen über Änderungen der gemeinsamen Landesgrenze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seiner Verkündung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Der Innenminister</w:t>
      </w:r>
    </w:p>
    <w:p>
      <w:r>
        <w:t xml:space="preserve">Zweiter Staatsvertrag</w:t>
      </w:r>
    </w:p>
    <w:p>
      <w:r>
        <w:t xml:space="preserve">zwischen den Ländern Niedersachsen und Nordrhein-Westfalen über Änderungen der gemeinsamen Landesgrenze.</w:t>
      </w:r>
    </w:p>
    <w:p>
      <w:r>
        <w:t xml:space="preserve">Um den Verlauf der gemeinsamen Landesgrenze zweckmäßig zu gestalten und in einigen Abschnitten an topographische Gegebenheiten anzupassen, schließen die Länder Niedersachsen und Nordrhein-Westfalen - im Folgenden: Länder - nach Anhörung der betroffenen kommunalen Gebietskörperschaften aufgrund des Artikel 29 Abs. 7 des Grundgesetzes in Verbindung mit ' 2 Abs. 1 des Gesetzes über das Verfahren bei sonstigen Änderungen des Gebietsbestandes der Länder nach Artikel 29 Abs. 7 des Grundgesetzes vom 30. Juli 1979 (BGBl. I S. 1325) folgenden Staatsvertrag:</w:t>
      </w:r>
    </w:p>
    <w:p>
      <w:r>
        <w:rPr>
          <w:color w:val="555555"/>
          <w:sz w:val="17"/>
        </w:rPr>
        <w:t xml:space="preserve">Zitiervorschlag: § 5 NW_27887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https://recht.nulegal.eu/gesetze/NW_27887/5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