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NW_27887 (Nordrhein-Westfalen)</w:t>
      </w:r>
    </w:p>
    <w:p>
      <w:r>
        <w:rPr>
          <w:color w:val="555555"/>
          <w:sz w:val="18"/>
        </w:rPr>
        <w:t xml:space="preserve">Gesetz zum Zweiten Staatsvertrag zwischen den Ländern Niedersachsen und Nordrhein-Westfalen über Änderungen der gemeinsamen Landesgrenze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in Artikel 1 Abs. 2 Nr. 1 a des Staatsvertrages genannten Flurstücke werden in die Gemeinde Lienen eingegliedert.</w:t>
      </w:r>
    </w:p>
    <w:p>
      <w:r>
        <w:t xml:space="preserve">(2) Die in Artikel 1 Abs. 2 Nr. 2 a des Staatsvertrages genannten Flurstücke werden in die Stadt Petershagen eingegliedert.</w:t>
      </w:r>
    </w:p>
    <w:p>
      <w:r>
        <w:t xml:space="preserve">(3) Die in Artikel 1 Abs. 2 Nr. 3 a des Staatsvertrages genannten Flurstücke werden in die Stadt Rahden eingegliedert.</w:t>
      </w:r>
    </w:p>
    <w:p>
      <w:r>
        <w:t xml:space="preserve">(4) Die in Artikel 1 Abs. 2 Nr. 4 des Staatsvertrages genannten Flurstücke werden in die Gemeinde Stemwede eingegliedert.</w:t>
      </w:r>
    </w:p>
    <w:p>
      <w:r>
        <w:rPr>
          <w:color w:val="555555"/>
          <w:sz w:val="17"/>
        </w:rPr>
        <w:t xml:space="preserve">Zitiervorschlag: § 3 NW_27887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https://recht.nulegal.eu/gesetze/NW_27887/3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