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NW_27887 (Nordrhein-Westfalen)</w:t>
      </w:r>
    </w:p>
    <w:p>
      <w:r>
        <w:rPr>
          <w:color w:val="555555"/>
          <w:sz w:val="18"/>
        </w:rPr>
        <w:t xml:space="preserve">Gesetz zum Zweiten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12. und 21. November 1997 unterzeichneten Zweiten Staatsvertrag zwischen dem Lande Niedersachsen und dem Lande Nordrhein-Westfalen über Änderungen der gemeinsamen Landesgrenze - Anlage zu diesem Gesetz - wird zugestimmt.</w:t>
      </w:r>
    </w:p>
    <w:p>
      <w:r>
        <w:rPr>
          <w:color w:val="555555"/>
          <w:sz w:val="17"/>
        </w:rPr>
        <w:t xml:space="preserve">Zitiervorschlag: § 1 NW_27887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https://recht.nulegal.eu/gesetze/NW_27887/1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NW_27887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