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NW_27876 (Nordrhein-Westfalen)</w:t>
      </w:r>
    </w:p>
    <w:p>
      <w:r>
        <w:rPr>
          <w:color w:val="555555"/>
          <w:sz w:val="18"/>
        </w:rPr>
        <w:t xml:space="preserve">Bekanntmachung des Verwaltungsabkommens vom 31. Oktober 1997 / 5. Dezember 1997 zur Bestimmung der zuständigen Behörde für die Festsetzung des Wasserschutzgebietes für die Trinkwassergewinnungsanlagen Tiefbohrungen "Bromskirchen und Hallenberg"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sich über das Verfahren zur Festsetzung des Wasserschutzgebietes hinaus weitere Verwaltungstätigkeiten ergeben, sind diese Aufgaben von den dafür nach Landesrecht jeweils zuständigen Behörden selbst wahrzunehmen.</w:t>
      </w:r>
    </w:p>
    <w:p>
      <w:r>
        <w:rPr>
          <w:color w:val="555555"/>
          <w:sz w:val="17"/>
        </w:rPr>
        <w:t xml:space="preserve">Zitiervorschlag: § 2 NW_27876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https://recht.nulegal.eu/gesetze/NW_27876/2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