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Entscheidungen über die Prüfungsleistungen trifft der Prüfungsausschuss mit Stimmenmehrheit.</w:t>
      </w:r>
    </w:p>
    <w:p>
      <w:r>
        <w:t xml:space="preserve">(2) Die Prüfung darf insgesamt nur für bestanden erklärt wer- den, wenn im theoretischen Teil mindestens fünfundvierzig Fragen - davon mindestens sechs aus den jeweiligen Prüfungsgebieten nach § 5 Abs. 2 - richtig beantwortet und im praktischen Teil nach § 5 Abs. 4 mindestens fünfundzwanzig von achtundzwanzig Punkten erreicht worden sind sowie nach § 5 Abs. 5 mindestens vier von sechs nach dem Zufallsprinzip vorgelegten Bildtafeln mit den richtigen Artennamen benannt worden sind.</w:t>
      </w:r>
    </w:p>
    <w:p>
      <w:r>
        <w:rPr>
          <w:color w:val="555555"/>
          <w:sz w:val="17"/>
        </w:rPr>
        <w:t xml:space="preserve">Zitiervorschlag: § 6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