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Prüfungstermine sind von der unteren Fischereibehörde nach Bedarf mindestens einmal im Jahr anzusetzen; sie sind zwei Monate vorher bekanntzugeben.</w:t>
      </w:r>
    </w:p>
    <w:p>
      <w:r>
        <w:t xml:space="preserve">(2) Die Prüfung ist nicht öffentlich. Die oder der Vorsitzende des Prüfungsausschusses kann Zuhörer zulassen. Vertreterinnen und Vertreter der oberen und der obersten Fischereibehörde können bei der Prüfung zugegen sein.</w:t>
      </w:r>
    </w:p>
    <w:p>
      <w:r>
        <w:t xml:space="preserve">(3) Die Prüfung ist bei der unteren Fischereibehörde abzulegen, in deren Bezirk der Prüfling seinen ständigen Wohnsitz hat. Die untere Fischereibehörde kann Ausnahmen zulassen.</w:t>
      </w:r>
    </w:p>
    <w:p>
      <w:r>
        <w:t xml:space="preserve">(4) Anträge auf Zulassung zur Prüfung sind spätestens vier Wochen vor dem Prüfungstermin bei der unteren Fischereibehörde einzureichen.</w:t>
      </w:r>
    </w:p>
    <w:p>
      <w:r>
        <w:t xml:space="preserve">(5) Für die Prüfung wird eine Gebühr nach der Allgemeinen Verwaltungsgebührenordnung erhoben. Die Teilnahme an der Prüfung kann von dem Nachweis der Zahlung der Gebühr abhängig gemacht werden.</w:t>
      </w:r>
    </w:p>
    <w:p>
      <w:r>
        <w:rPr>
          <w:color w:val="555555"/>
          <w:sz w:val="17"/>
        </w:rPr>
        <w:t xml:space="preserve">Zitiervorschlag: § 3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