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NW_27829 (Nordrhein-Westfalen) — Übergangsregelung</w:t>
      </w:r>
    </w:p>
    <w:p>
      <w:r>
        <w:rPr>
          <w:color w:val="555555"/>
          <w:sz w:val="18"/>
        </w:rPr>
        <w:t xml:space="preserve">Satzung der Provinzial-Feuerversicherungsanstalt der Rheinprovinz - Versicherung der Sparkassen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Regelung in § 5 Abs. 1 Satz 2 entfaltet Wirkung ausschließlich hinsichtlich der Versischerungsverträge, die mit dem Versicherungsnehmer bereits zum 24.03.1997 bestanden haben.</w:t>
      </w:r>
    </w:p>
    <w:p>
      <w:r>
        <w:rPr>
          <w:color w:val="555555"/>
          <w:sz w:val="17"/>
        </w:rPr>
        <w:t xml:space="preserve">Zitiervorschlag: § 21 NW_27829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https://recht.nulegal.eu/gesetze/NW_27829/21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