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NW_27829 (Nordrhein-Westfalen)</w:t>
      </w:r>
    </w:p>
    <w:p>
      <w:r>
        <w:rPr>
          <w:color w:val="555555"/>
          <w:sz w:val="18"/>
        </w:rPr>
        <w:t xml:space="preserve">Satzung der Provinzial-Feuerversicherungsanstalt der Rheinprovinz - Versicherung der Sparkassen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Auflösung der Provinzial</w:t>
      </w:r>
    </w:p>
    <w:p>
      <w:r>
        <w:t xml:space="preserve">Im Falle der Auflösung der Provinzial ist die Liquidation einzuleiten. Das nach beendeter Liquidation verbleibende Vermögen fällt den Gewährträgern nach Maßgabe ihrer Anteile am Stammkapital zu.</w:t>
      </w:r>
    </w:p>
    <w:p>
      <w:r>
        <w:rPr>
          <w:color w:val="555555"/>
          <w:sz w:val="17"/>
        </w:rPr>
        <w:t xml:space="preserve">Zitiervorschlag: § 18 NW_27829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https://recht.nulegal.eu/gesetze/NW_27829/18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