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NW_27829 (Nordrhein-Westfalen) — Sitzungen des Verwaltungsrates</w:t>
      </w:r>
    </w:p>
    <w:p>
      <w:r>
        <w:rPr>
          <w:color w:val="555555"/>
          <w:sz w:val="18"/>
        </w:rPr>
        <w:t xml:space="preserve">Satzung der Provinzial-Feuerversicherungsanstalt der Rheinprovinz - Versicherung der Sparkassen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versammelt sich auf Einladung seines Vorsitzenden, sooft es die Lage des Geschäftes erfordert, jedoch mindestens zweimal im Jahr. Der Verwaltungsrat muß einberufen werden, wenn es einer der stellvertretenden Vorsitzenden, mindestens 1/3 der weiteren Mitglieder des Verwaltungsrates, der Vorstand oder die Aufsichtsbehörde unter Angabe des Verhandlungsgegenstandes verlangen.</w:t>
      </w:r>
    </w:p>
    <w:p>
      <w:r>
        <w:t xml:space="preserve">(2) Der Verwaltungsrat ist beschlußfähig, wenn der Vorsitzende oder einer seiner Vertreter sowie mindestens 13 weitere Mitglieder anwesend sind.(3) Der Verwaltungsrat beschließt mit der Mehrheit der anwesenden Mitglieder.</w:t>
      </w:r>
    </w:p>
    <w:p>
      <w:r>
        <w:rPr>
          <w:color w:val="555555"/>
          <w:sz w:val="17"/>
        </w:rPr>
        <w:t xml:space="preserve">Zitiervorschlag: § 12 NW_27829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https://recht.nulegal.eu/gesetze/NW_27829/12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