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NW_27784 (Nordrhein-Westfalen)</w:t>
      </w:r>
    </w:p>
    <w:p>
      <w:r>
        <w:rPr>
          <w:color w:val="555555"/>
          <w:sz w:val="18"/>
        </w:rPr>
        <w:t xml:space="preserve">Landesministergesetz,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Landesregierung und ihre Hinterbliebenen erhalten Versorgung nach den Vorschriften der §§ 10 bis 14.</w:t>
      </w:r>
    </w:p>
    <w:p>
      <w:r>
        <w:t xml:space="preserve">(2) Soweit nichts anderes bestimmt ist, sind die in Nordrhein-Westfalen geltenden beamtenversorgungsrechtlichen Vorschriften sinngemäß anzuwenden. § 7 Abs. 4 gilt entsprechend.</w:t>
      </w:r>
    </w:p>
    <w:p>
      <w:r>
        <w:rPr>
          <w:color w:val="555555"/>
          <w:sz w:val="17"/>
        </w:rPr>
        <w:t xml:space="preserve">Zitiervorschlag: § 9 NW_27784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https://recht.nulegal.eu/gesetze/NW_27784/9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