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NW_27784 (Nordrhein-Westfalen)</w:t>
      </w:r>
    </w:p>
    <w:p>
      <w:r>
        <w:rPr>
          <w:color w:val="555555"/>
          <w:sz w:val="18"/>
        </w:rPr>
        <w:t xml:space="preserve">Landesministergesetz,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Amtsverhältnis sämtlicher Mitglieder der Landesregierung endet</w:t>
      </w:r>
    </w:p>
    <w:p>
      <w:r>
        <w:t xml:space="preserve">a) mit der Abberufung der Ministerpräsidentin oder des Ministerpräsidenten nach Artikel 61 der Landesverfassung,</w:t>
      </w:r>
    </w:p>
    <w:p>
      <w:r>
        <w:t xml:space="preserve">b) mit dem Zusammentritt eines neuen Landtages,</w:t>
      </w:r>
    </w:p>
    <w:p>
      <w:r>
        <w:t xml:space="preserve">c) mit jeder anderen Erledigung des Amtes der Ministerpräsidentin oder des Ministerpräsidenten.</w:t>
      </w:r>
    </w:p>
    <w:p>
      <w:r>
        <w:t xml:space="preserve">(2) Das Amtsverhältnis der einzelnen Ministerinnen und Minister endet außerdem mit ihrer Entlassung.</w:t>
      </w:r>
    </w:p>
    <w:p>
      <w:r>
        <w:rPr>
          <w:color w:val="555555"/>
          <w:sz w:val="17"/>
        </w:rPr>
        <w:t xml:space="preserve">Zitiervorschlag: § 5 NW_27784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