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NW_27784 (Nordrhein-Westfalen)</w:t>
      </w:r>
    </w:p>
    <w:p>
      <w:r>
        <w:rPr>
          <w:color w:val="555555"/>
          <w:sz w:val="18"/>
        </w:rPr>
        <w:t xml:space="preserve">Landesministergesetz,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Mitglieder der Landesregierung sind, auch nach Beendigung ihres Amtsverhältnisses, verpflichtet, Verschwiegenheit über solche ihnen amtlich bekannt gewordene Angelegenheiten zu wahren, deren Geheimhaltung ihrer Natur nach erforderlich oder besonders vorgeschrieben ist.</w:t>
      </w:r>
    </w:p>
    <w:p>
      <w:r>
        <w:rPr>
          <w:color w:val="555555"/>
          <w:sz w:val="17"/>
        </w:rPr>
        <w:t xml:space="preserve">Zitiervorschlag: § 3 NW_27784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https://recht.nulegal.eu/gesetze/NW_27784/3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