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NW_27784 (Nordrhein-Westfalen)</w:t>
      </w:r>
    </w:p>
    <w:p>
      <w:r>
        <w:rPr>
          <w:color w:val="555555"/>
          <w:sz w:val="18"/>
        </w:rPr>
        <w:t xml:space="preserve">Landesministergesetz,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Landesregierung erhalten eine Urkunde über ihre Ernennung. Die Urkunde für die Ministerpräsidentin oder den Ministerpräsidenten wird von der Landtagspräsidentin oder dem Landtagspräsidenten, die Urkunde für die Ministerinnen und Minister von der Ministerpräsidentin oder dem Ministerpräsidenten vollzogen.</w:t>
      </w:r>
    </w:p>
    <w:p>
      <w:r>
        <w:t xml:space="preserve">(2) In der Urkunde für die Ministerinnen und Minister soll der übertragene Geschäftsbereich angegeben sein.</w:t>
      </w:r>
    </w:p>
    <w:p>
      <w:r>
        <w:rPr>
          <w:color w:val="555555"/>
          <w:sz w:val="17"/>
        </w:rPr>
        <w:t xml:space="preserve">Zitiervorschlag: § 2 NW_27784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