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NW_27784 (Nordrhein-Westfalen)</w:t>
      </w:r>
    </w:p>
    <w:p>
      <w:r>
        <w:rPr>
          <w:color w:val="555555"/>
          <w:sz w:val="18"/>
        </w:rPr>
        <w:t xml:space="preserve">Landesministergesetz,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Wird ein Mitglied der Landesregierung durch einen Dienstunfall verletzt, so wird ihm und seinen Hinterbliebenen Unfallfürsorge in sinngemäßer Anwendung der in Nordrhein-Westfalen geltenden beamtenversorgungsrechtlichen Vorschriften gewährt.</w:t>
      </w:r>
    </w:p>
    <w:p>
      <w:r>
        <w:t xml:space="preserve">(2) Unfälle aus Anlaß einer aus politischen Rücksichten erfolgten Teilnahme an Veranstaltungen gelten im Zweifel als Dienstunfall.</w:t>
      </w:r>
    </w:p>
    <w:p>
      <w:r>
        <w:t xml:space="preserve">(3) Die Landesregierung stellt fest, ob die Voraussetzungen für die Gewährung von Unfallfürsorge vorliegen.</w:t>
      </w:r>
    </w:p>
    <w:p>
      <w:r>
        <w:rPr>
          <w:color w:val="555555"/>
          <w:sz w:val="17"/>
        </w:rPr>
        <w:t xml:space="preserve">Zitiervorschlag: § 13 NW_27784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https://recht.nulegal.eu/gesetze/NW_27784/13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