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NW_27783 (Nordrhein-Westfalen)</w:t>
      </w:r>
    </w:p>
    <w:p>
      <w:r>
        <w:rPr>
          <w:color w:val="555555"/>
          <w:sz w:val="18"/>
        </w:rPr>
        <w:t xml:space="preserve">Bekanntmachung des Abkommens über die gemeinsame Finanzierung der Stiftung Preußischer Kulturbesitz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verbleibende Zuschußbedarf wird nach Maßgabe der Regelung in § 4 wie folgt aufgeteilt:</w:t>
      </w:r>
    </w:p>
    <w:p>
      <w:r>
        <w:t xml:space="preserve">1. Von einem Sockelbetrag der Betriebskosten von 240 Mio. DM tragen als Festbetrag der Bund 75 vom Hundert (= 180 Mio. DM) und die Länder 25 vom Hundert (= 60 Mio. DM)</w:t>
      </w:r>
    </w:p>
    <w:p>
      <w:r>
        <w:t xml:space="preserve">2. Der über den Sokelbetrag hinausgehende jährliche Finanzbedarf wird vom Bund zu 75 vom Hundert und dem Land Berlin zu 25 vom Hundert getragen.</w:t>
      </w:r>
    </w:p>
    <w:p>
      <w:r>
        <w:rPr>
          <w:color w:val="555555"/>
          <w:sz w:val="17"/>
        </w:rPr>
        <w:t xml:space="preserve">Zitiervorschlag: § 3 NW_27783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https://recht.nulegal.eu/gesetze/NW_27783/3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