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NW_27776 (Nordrhein-Westfalen)</w:t>
      </w:r>
    </w:p>
    <w:p>
      <w:r>
        <w:rPr>
          <w:color w:val="555555"/>
          <w:sz w:val="18"/>
        </w:rPr>
        <w:t xml:space="preserve">Zuständigkeitsverordnung für Mediendienste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Wird das Gesetz zum Staatsvertrag über Mediendienste nach seinem Artikel 4 gegenstandslos, werden §§ 1 bis 3 dieser Verordnung gegenstandslos.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t xml:space="preserve">Der Minister für</w:t>
      </w:r>
    </w:p>
    <w:p>
      <w:r>
        <w:t xml:space="preserve">Arbeit, Gesundheit und Soziales</w:t>
      </w:r>
    </w:p>
    <w:p>
      <w:r>
        <w:rPr>
          <w:color w:val="555555"/>
          <w:sz w:val="17"/>
        </w:rPr>
        <w:t xml:space="preserve">Zitiervorschlag: § 4 NW_27776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https://recht.nulegal.eu/gesetze/NW_27776/4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