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NW_27767 (Nordrhein-Westfalen)</w:t>
      </w:r>
    </w:p>
    <w:p>
      <w:r>
        <w:rPr>
          <w:color w:val="555555"/>
          <w:sz w:val="18"/>
        </w:rPr>
        <w:t xml:space="preserve">Ordnungsbehördliche Verordnung über die unverzügliche Anzeige von umweltrelevanten Ereignissen beim Betrieb von Anlagen - Umwelt-Schadensanzeige-Verordnung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Februar 1995</w:t>
      </w:r>
    </w:p>
    <w:p>
      <w:r>
        <w:t xml:space="preserve">Aufgrund des § 26 Abs. 1 und des § 48 Abs. 5 Buchstabe a des Ordnungsbehördengesetzes in der Fassung der Bekanntmachung vom 13. Mai 1980 (GV. NRW. S. 528), zuletzt geändert durch Gesetz vom 16. März 2004 (GV. NRW. S. 135), wird für das Land Nordrhein-Westfalen im Einvernehmen mit dem Innenministerium verordnet:</w:t>
      </w:r>
    </w:p>
    <w:p>
      <w:r>
        <w:rPr>
          <w:color w:val="555555"/>
          <w:sz w:val="17"/>
        </w:rPr>
        <w:t xml:space="preserve">Zitiervorschlag: Volltext NW_27767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https://recht.nulegal.eu/gesetze/NW_27767/volltext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