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NW_27767 (Nordrhein-Westfalen) — Ordnungswidrigkeiten</w:t>
      </w:r>
    </w:p>
    <w:p>
      <w:r>
        <w:rPr>
          <w:color w:val="555555"/>
          <w:sz w:val="18"/>
        </w:rPr>
        <w:t xml:space="preserve">Ordnungsbehördliche Verordnung über die unverzügliche Anzeige von umweltrelevanten Ereignissen beim Betrieb von Anlagen - Umwelt-Schadensanzeige-Verordnung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a) entgegen § 2 Abs. 1 oder 3 eine Anzeige nicht oder nicht rechtzeitig erstattet,</w:t>
      </w:r>
    </w:p>
    <w:p>
      <w:r>
        <w:t xml:space="preserve">b) entgegen § 3 Abs. 1 unrichtige oder unvollständige Angaben macht,</w:t>
      </w:r>
    </w:p>
    <w:p>
      <w:r>
        <w:t xml:space="preserve">c) entgegen § 3 Abs. 2 eine Anzeige nicht oder nicht rechtzeitig ergänzt oder berichtigt oder</w:t>
      </w:r>
    </w:p>
    <w:p>
      <w:r>
        <w:t xml:space="preserve">d) einer vollziehbaren Anordnung nach § 4 Abs. 2 zuwiderhandelt.</w:t>
      </w:r>
    </w:p>
    <w:p>
      <w:r>
        <w:t xml:space="preserve">(2) Die Ordnungswidrigkeit kann mit einer Geldbuße geahndet werden.</w:t>
      </w:r>
    </w:p>
    <w:p>
      <w:r>
        <w:rPr>
          <w:color w:val="555555"/>
          <w:sz w:val="17"/>
        </w:rPr>
        <w:t xml:space="preserve">Zitiervorschlag: § 5 NW_27767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https://recht.nulegal.eu/gesetze/NW_27767/5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