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NW_27767 (Nordrhein-Westfalen) — Geltungsbereich</w:t>
      </w:r>
    </w:p>
    <w:p>
      <w:r>
        <w:rPr>
          <w:color w:val="555555"/>
          <w:sz w:val="18"/>
        </w:rPr>
        <w:t xml:space="preserve">Ordnungsbehördliche Verordnung über die unverzügliche Anzeige von umweltrelevanten Ereignissen beim Betrieb von Anlagen - Umwelt-Schadensanzeige-Verordnung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gilt für Anlagen, die der Überwachung nach § 52 Abs. 1 des Bundes-Immissionsschutzgesetzes unterliegen. Sie findet keine Anwendung, wenn im Einzelfall nach anderen Rechtsvorschriften eine gleichartige oder eine weitergehende Melde- oder Anzeigepflicht gegenüber den für den Vollzug dieser Verordnung zuständigen Behörden besteht.</w:t>
      </w:r>
    </w:p>
    <w:p>
      <w:r>
        <w:rPr>
          <w:color w:val="555555"/>
          <w:sz w:val="17"/>
        </w:rPr>
        <w:t xml:space="preserve">Zitiervorschlag: § 1 NW_27767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https://recht.nulegal.eu/gesetze/NW_27767/1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