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NW_27766 (Nordrhein-Westfalen)</w:t>
      </w:r>
    </w:p>
    <w:p>
      <w:r>
        <w:rPr>
          <w:color w:val="555555"/>
          <w:sz w:val="18"/>
        </w:rPr>
        <w:t xml:space="preserve">Verordnung zum Zweiten Bundesgesetz zur Aufhebung des Besatzungsrechts vom 30. Mai 1956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Oktober 1956</w:t>
      </w:r>
    </w:p>
    <w:p>
      <w:r>
        <w:t xml:space="preserve">Auf Grund des Artikels 4 des Zweiten Gesetzes zur Aufhebung des Besatzungsrechts vom 30. Mai 1956 (BGBl. I S. 446) wird verordnet:</w:t>
      </w:r>
    </w:p>
    <w:p>
      <w:r>
        <w:rPr>
          <w:color w:val="555555"/>
          <w:sz w:val="17"/>
        </w:rPr>
        <w:t xml:space="preserve">Zitiervorschlag: Volltext NW_27766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https://recht.nulegal.eu/gesetze/NW_27766/volltext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