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NW_27766 (Nordrhein-Westfalen)</w:t>
      </w:r>
    </w:p>
    <w:p>
      <w:r>
        <w:rPr>
          <w:color w:val="555555"/>
          <w:sz w:val="18"/>
        </w:rPr>
        <w:t xml:space="preserve">Verordnung zum Zweiten Bundesgesetz zur Aufhebung des Besatzungsrechts vom 30. Mai 1956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Verordnung tritt mit Wirkung vom 1. Juni 1956 in Kraft.</w:t>
      </w:r>
    </w:p>
    <w:p>
      <w:r>
        <w:t xml:space="preserve">Die Landesregierung des Landes Nordrhein-Westfalen.</w:t>
      </w:r>
    </w:p>
    <w:p>
      <w:r>
        <w:rPr>
          <w:color w:val="555555"/>
          <w:sz w:val="17"/>
        </w:rPr>
        <w:t xml:space="preserve">Zitiervorschlag: § 2 NW_27766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https://recht.nulegal.eu/gesetze/NW_27766/2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